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506CFFA" w:rsidR="00211D24" w:rsidRPr="00EB18AC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8E4BC0">
        <w:rPr>
          <w:rFonts w:ascii="Calibri" w:hAnsi="Calibri" w:cs="Calibri"/>
          <w:b/>
          <w:sz w:val="28"/>
          <w:szCs w:val="28"/>
        </w:rPr>
        <w:t>1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B5C6095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="008E4BC0">
        <w:rPr>
          <w:rFonts w:ascii="Calibri" w:hAnsi="Calibri" w:cs="Calibri"/>
          <w:b/>
          <w:smallCaps/>
          <w:sz w:val="28"/>
          <w:szCs w:val="28"/>
        </w:rPr>
        <w:t>1</w:t>
      </w:r>
      <w:r w:rsidR="00C3715A">
        <w:rPr>
          <w:rFonts w:ascii="Calibri" w:hAnsi="Calibri" w:cs="Calibri"/>
          <w:b/>
          <w:smallCaps/>
          <w:sz w:val="28"/>
          <w:szCs w:val="28"/>
        </w:rPr>
        <w:t xml:space="preserve">. VÝZVA 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MAS </w:t>
      </w:r>
      <w:r w:rsidR="008E4BC0">
        <w:rPr>
          <w:rFonts w:ascii="Calibri" w:hAnsi="Calibri" w:cs="Calibri"/>
          <w:b/>
          <w:smallCaps/>
          <w:sz w:val="28"/>
          <w:szCs w:val="28"/>
        </w:rPr>
        <w:t>REGION HANÁ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963100" w:rsidRPr="00963100">
        <w:t xml:space="preserve"> </w:t>
      </w:r>
      <w:r w:rsidR="008E4BC0">
        <w:rPr>
          <w:rFonts w:ascii="Calibri" w:hAnsi="Calibri" w:cs="Calibri"/>
          <w:b/>
          <w:smallCaps/>
          <w:sz w:val="28"/>
          <w:szCs w:val="28"/>
        </w:rPr>
        <w:t>DOPRAVA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58E5ECE7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C3715A">
        <w:rPr>
          <w:rFonts w:ascii="Calibri" w:hAnsi="Calibri" w:cs="Calibri"/>
          <w:b/>
          <w:smallCaps/>
          <w:sz w:val="28"/>
          <w:szCs w:val="28"/>
        </w:rPr>
        <w:t>60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 xml:space="preserve">. Výzvu - IROP - </w:t>
      </w:r>
      <w:r w:rsidR="00C3715A">
        <w:rPr>
          <w:rFonts w:ascii="Calibri" w:hAnsi="Calibri" w:cs="Calibri"/>
          <w:b/>
          <w:smallCaps/>
          <w:sz w:val="28"/>
          <w:szCs w:val="28"/>
        </w:rPr>
        <w:t>DOPRAVA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>- SC 5.1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33261980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BB37D1">
        <w:t>60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7FC6571D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BB37D1">
        <w:t>60</w:t>
      </w:r>
      <w:r>
        <w:t xml:space="preserve"> IROP (vždy v aktuálním znění).</w:t>
      </w:r>
    </w:p>
    <w:p w14:paraId="2C5650A1" w14:textId="5C41518D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EB0435" w:rsidRPr="002F47A4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05A15890" w14:textId="3E01347A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opatřený elektronickým podpisem osoby (osoby)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5AE8806" w14:textId="77777777" w:rsidR="00DF1583" w:rsidRPr="00DF1583" w:rsidRDefault="006E6251" w:rsidP="00DF1583">
            <w:pPr>
              <w:spacing w:after="0" w:line="240" w:lineRule="auto"/>
              <w:rPr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DF1583" w:rsidRPr="00DF1583">
              <w:rPr>
                <w:sz w:val="20"/>
                <w:szCs w:val="20"/>
              </w:rPr>
              <w:t>5.1 Podpora integrovaného a inkluzivního sociálního, hospodářského a environmentálního místního rozvoje, kultury, přírodního dědictví, udržitelného cestovního ruchu a bezpečnosti</w:t>
            </w:r>
          </w:p>
          <w:p w14:paraId="1CC9AE0B" w14:textId="23A527F2" w:rsidR="006E6251" w:rsidRPr="00331076" w:rsidRDefault="00DF1583" w:rsidP="00DF158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F1583">
              <w:rPr>
                <w:sz w:val="20"/>
                <w:szCs w:val="20"/>
              </w:rPr>
              <w:t>v jiných než městských oblastech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86F2261" w:rsidR="006E6251" w:rsidRPr="00331076" w:rsidRDefault="006E6251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DF1583">
              <w:rPr>
                <w:sz w:val="20"/>
                <w:szCs w:val="20"/>
              </w:rPr>
              <w:t>60.</w:t>
            </w:r>
            <w:r w:rsidR="00963100" w:rsidRPr="00963100">
              <w:rPr>
                <w:sz w:val="20"/>
                <w:szCs w:val="20"/>
              </w:rPr>
              <w:t xml:space="preserve"> VÝZVU - IROP - </w:t>
            </w:r>
            <w:r w:rsidR="006032E2">
              <w:rPr>
                <w:sz w:val="20"/>
                <w:szCs w:val="20"/>
              </w:rPr>
              <w:t>DOPRAVA</w:t>
            </w:r>
            <w:r w:rsidR="00963100" w:rsidRPr="00963100">
              <w:rPr>
                <w:sz w:val="20"/>
                <w:szCs w:val="20"/>
              </w:rPr>
              <w:t xml:space="preserve"> -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F5A8F0D" w:rsidR="006E6251" w:rsidRPr="00331076" w:rsidRDefault="006E6251" w:rsidP="006032E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6032E2">
              <w:rPr>
                <w:rFonts w:cs="Arial"/>
                <w:bCs/>
                <w:sz w:val="20"/>
                <w:szCs w:val="20"/>
              </w:rPr>
              <w:t>1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>.</w:t>
            </w:r>
            <w:r w:rsidR="006032E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 xml:space="preserve">výzva MAS </w:t>
            </w:r>
            <w:r w:rsidR="006032E2">
              <w:rPr>
                <w:rFonts w:cs="Arial"/>
                <w:bCs/>
                <w:sz w:val="20"/>
                <w:szCs w:val="20"/>
              </w:rPr>
              <w:t xml:space="preserve">Region HANÁ 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>-IROP-</w:t>
            </w:r>
            <w:r w:rsidR="006032E2">
              <w:rPr>
                <w:rFonts w:cs="Arial"/>
                <w:bCs/>
                <w:sz w:val="20"/>
                <w:szCs w:val="20"/>
              </w:rPr>
              <w:t>DOPRAVA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7CFB157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993A2F">
              <w:rPr>
                <w:i/>
                <w:color w:val="FF0000"/>
                <w:sz w:val="20"/>
                <w:szCs w:val="20"/>
              </w:rPr>
              <w:t>60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Doprava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1183E53D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A221163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žadatel do projektu vloží ze svých zdrojů (kofinancování 5% + případné nezpůsobilé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výdje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98B2F" w14:textId="088BDC09" w:rsidR="00684DA4" w:rsidRDefault="00684DA4" w:rsidP="00684DA4">
            <w:pPr>
              <w:rPr>
                <w:b/>
              </w:rPr>
            </w:pPr>
            <w:r>
              <w:rPr>
                <w:b/>
              </w:rPr>
              <w:t xml:space="preserve">Délka nově vybudovaného, rekonstruovaného nebo </w:t>
            </w:r>
            <w:r w:rsidRPr="00684DA4">
              <w:rPr>
                <w:b/>
              </w:rPr>
              <w:t>modernizovaného chodníku</w:t>
            </w:r>
          </w:p>
          <w:p w14:paraId="5D69459F" w14:textId="6B7C52FC" w:rsidR="007314F2" w:rsidRDefault="005A7427" w:rsidP="00684DA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Posuzuje se délka chodníku. Uveďte v metrech.</w:t>
            </w:r>
          </w:p>
          <w:p w14:paraId="785F1080" w14:textId="77777777" w:rsidR="00DF1583" w:rsidRDefault="00DF1583" w:rsidP="00755FF3">
            <w:pPr>
              <w:rPr>
                <w:i/>
                <w:color w:val="FF0000"/>
                <w:sz w:val="20"/>
                <w:szCs w:val="20"/>
              </w:rPr>
            </w:pPr>
          </w:p>
          <w:p w14:paraId="5C86E9C6" w14:textId="0BF6065F" w:rsidR="00DF1583" w:rsidRPr="007314F2" w:rsidRDefault="00DF1583" w:rsidP="00755FF3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D395A29" w14:textId="190621BC" w:rsidR="00DF1583" w:rsidRDefault="00684DA4" w:rsidP="005644BD">
            <w:pPr>
              <w:rPr>
                <w:b/>
              </w:rPr>
            </w:pPr>
            <w:r w:rsidRPr="00684DA4">
              <w:rPr>
                <w:b/>
              </w:rPr>
              <w:t>Přístup k zastávkám hromadné dopravy</w:t>
            </w:r>
          </w:p>
          <w:p w14:paraId="1B48DDAD" w14:textId="60D1B1DF" w:rsidR="00684DA4" w:rsidRDefault="00684DA4" w:rsidP="00684DA4">
            <w:pPr>
              <w:rPr>
                <w:i/>
                <w:color w:val="FF0000"/>
                <w:sz w:val="20"/>
                <w:szCs w:val="20"/>
              </w:rPr>
            </w:pPr>
            <w:r w:rsidRPr="00684DA4">
              <w:rPr>
                <w:i/>
                <w:color w:val="FF0000"/>
                <w:sz w:val="20"/>
                <w:szCs w:val="20"/>
              </w:rPr>
              <w:t>Posuzuje se, zda chodn</w:t>
            </w:r>
            <w:r>
              <w:rPr>
                <w:i/>
                <w:color w:val="FF0000"/>
                <w:sz w:val="20"/>
                <w:szCs w:val="20"/>
              </w:rPr>
              <w:t xml:space="preserve">ík umožnuje přístup k zastávkám </w:t>
            </w:r>
            <w:r w:rsidRPr="00684DA4">
              <w:rPr>
                <w:i/>
                <w:color w:val="FF0000"/>
                <w:sz w:val="20"/>
                <w:szCs w:val="20"/>
              </w:rPr>
              <w:t>hromadné doprav</w:t>
            </w:r>
            <w:r w:rsidR="005A7427">
              <w:rPr>
                <w:i/>
                <w:color w:val="FF0000"/>
                <w:sz w:val="20"/>
                <w:szCs w:val="20"/>
              </w:rPr>
              <w:t>y. Pokud je přístup, uveďte závazně a přesně na m, do jaké vzdálenosti od realizovaného chodníku se nachází zastávka hromadné dopravy.</w:t>
            </w:r>
          </w:p>
          <w:p w14:paraId="667A918A" w14:textId="4F9B8B3C" w:rsidR="00DF1583" w:rsidRPr="00586900" w:rsidRDefault="00DF1583" w:rsidP="005644BD">
            <w:pPr>
              <w:rPr>
                <w:b/>
                <w:sz w:val="20"/>
                <w:szCs w:val="20"/>
              </w:rPr>
            </w:pP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74AE46A" w14:textId="77777777" w:rsidR="00684DA4" w:rsidRDefault="00684DA4" w:rsidP="00684DA4">
            <w:pPr>
              <w:rPr>
                <w:b/>
              </w:rPr>
            </w:pPr>
            <w:r w:rsidRPr="00684DA4">
              <w:rPr>
                <w:b/>
              </w:rPr>
              <w:t>Projekt je realizován v místech, kde před realizací projektu není chodník</w:t>
            </w:r>
          </w:p>
          <w:p w14:paraId="1778AF2B" w14:textId="70E9B66A" w:rsidR="005A7427" w:rsidRPr="005A7427" w:rsidRDefault="00684DA4" w:rsidP="005A7427">
            <w:pPr>
              <w:rPr>
                <w:i/>
                <w:color w:val="FF0000"/>
                <w:sz w:val="20"/>
                <w:szCs w:val="20"/>
              </w:rPr>
            </w:pPr>
            <w:r w:rsidRPr="00684DA4">
              <w:rPr>
                <w:i/>
                <w:color w:val="FF0000"/>
                <w:sz w:val="20"/>
                <w:szCs w:val="20"/>
              </w:rPr>
              <w:t>Posuzuje se,</w:t>
            </w:r>
            <w:r>
              <w:rPr>
                <w:i/>
                <w:color w:val="FF0000"/>
                <w:sz w:val="20"/>
                <w:szCs w:val="20"/>
              </w:rPr>
              <w:t xml:space="preserve"> zda celá délka chodníku nebyla</w:t>
            </w:r>
            <w:r w:rsidRPr="00684DA4">
              <w:rPr>
                <w:i/>
                <w:color w:val="FF0000"/>
                <w:sz w:val="20"/>
                <w:szCs w:val="20"/>
              </w:rPr>
              <w:t xml:space="preserve"> v místě, kde před realizací projektu chodník nebyl. </w:t>
            </w:r>
            <w:r w:rsidR="005A7427">
              <w:rPr>
                <w:i/>
                <w:color w:val="FF0000"/>
                <w:sz w:val="20"/>
                <w:szCs w:val="20"/>
              </w:rPr>
              <w:t xml:space="preserve">Uveďte, zda je chodník realizován v místě, kde doposud nebyl (např. zelená louka, stávající silnice apod.). Pokud je nově </w:t>
            </w:r>
            <w:r w:rsidR="005A7427">
              <w:rPr>
                <w:i/>
                <w:color w:val="FF0000"/>
                <w:sz w:val="20"/>
                <w:szCs w:val="20"/>
              </w:rPr>
              <w:lastRenderedPageBreak/>
              <w:t xml:space="preserve">budován, uveďte jaká část z celkové délky chodníku </w:t>
            </w:r>
            <w:proofErr w:type="gramStart"/>
            <w:r w:rsidR="005A7427">
              <w:rPr>
                <w:i/>
                <w:color w:val="FF0000"/>
                <w:sz w:val="20"/>
                <w:szCs w:val="20"/>
              </w:rPr>
              <w:t>je</w:t>
            </w:r>
            <w:proofErr w:type="gramEnd"/>
            <w:r w:rsidR="005A7427">
              <w:rPr>
                <w:i/>
                <w:color w:val="FF0000"/>
                <w:sz w:val="20"/>
                <w:szCs w:val="20"/>
              </w:rPr>
              <w:t xml:space="preserve"> na nové ploše tak, aby bylo možno posoudit, zda min. 50 % délky je nově realizováno.</w:t>
            </w:r>
          </w:p>
        </w:tc>
      </w:tr>
      <w:tr w:rsidR="005A7427" w:rsidRPr="00586900" w14:paraId="2272EBF9" w14:textId="77777777" w:rsidTr="00CF450E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46852" w14:textId="2A029C6D" w:rsidR="00CF450E" w:rsidRDefault="00CF450E" w:rsidP="005A7427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</w:rPr>
              <w:lastRenderedPageBreak/>
              <w:t>T</w:t>
            </w:r>
            <w:r w:rsidRPr="00341D9E">
              <w:rPr>
                <w:b/>
              </w:rPr>
              <w:t xml:space="preserve">ermín ukončení realizace projektu do </w:t>
            </w:r>
            <w:proofErr w:type="gramStart"/>
            <w:r w:rsidRPr="00341D9E">
              <w:rPr>
                <w:b/>
              </w:rPr>
              <w:t>3</w:t>
            </w:r>
            <w:r>
              <w:rPr>
                <w:b/>
              </w:rPr>
              <w:t>1.3</w:t>
            </w:r>
            <w:proofErr w:type="gramEnd"/>
            <w:r w:rsidRPr="00341D9E">
              <w:rPr>
                <w:b/>
              </w:rPr>
              <w:t xml:space="preserve">. 2025 </w:t>
            </w:r>
            <w:r>
              <w:rPr>
                <w:b/>
              </w:rPr>
              <w:t xml:space="preserve"> a podána Žádost o proplacení</w:t>
            </w:r>
          </w:p>
          <w:p w14:paraId="60B8892A" w14:textId="335B80D5" w:rsidR="005A7427" w:rsidRPr="005A7427" w:rsidRDefault="005A7427" w:rsidP="005A7427">
            <w:pPr>
              <w:rPr>
                <w:i/>
                <w:color w:val="FF0000"/>
                <w:sz w:val="20"/>
                <w:szCs w:val="20"/>
              </w:rPr>
            </w:pPr>
            <w:r w:rsidRPr="005A7427">
              <w:rPr>
                <w:i/>
                <w:color w:val="FF0000"/>
                <w:sz w:val="20"/>
                <w:szCs w:val="20"/>
              </w:rPr>
              <w:t>Uveďte – (!Závazně!)</w:t>
            </w:r>
            <w:r>
              <w:rPr>
                <w:i/>
                <w:color w:val="FF0000"/>
                <w:sz w:val="20"/>
                <w:szCs w:val="20"/>
              </w:rPr>
              <w:t xml:space="preserve">, zda bude předložena žádost o proplacení projektu po jeho realizaci do termínu 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31.3.2025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CF450E">
              <w:rPr>
                <w:i/>
                <w:color w:val="FF0000"/>
                <w:sz w:val="20"/>
                <w:szCs w:val="20"/>
              </w:rPr>
              <w:t>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77777777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692223DB" w:rsidR="00991E7D" w:rsidRPr="001C1F58" w:rsidRDefault="00FC33C8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13F9DD" w14:textId="1ED67D56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1265764E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E1A449" w14:textId="3D0B59F7" w:rsidR="00991E7D" w:rsidRPr="001C1F58" w:rsidRDefault="00FC33C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6863C0" w14:textId="0F6EC1F1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7B7C9" w14:textId="6C0EBB2A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EEFFC6C" w:rsidR="00991E7D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006DA8" w:rsidRDefault="00586900" w:rsidP="00755FF3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bookmarkStart w:id="1" w:name="_GoBack"/>
            <w:bookmarkEnd w:id="1"/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 xml:space="preserve">Všechny </w:t>
            </w:r>
            <w:r>
              <w:t>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30576DED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0E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5018F"/>
    <w:rsid w:val="00095943"/>
    <w:rsid w:val="00106565"/>
    <w:rsid w:val="001115D4"/>
    <w:rsid w:val="00117535"/>
    <w:rsid w:val="00120BA2"/>
    <w:rsid w:val="001235EA"/>
    <w:rsid w:val="001569BD"/>
    <w:rsid w:val="00174A6F"/>
    <w:rsid w:val="00195825"/>
    <w:rsid w:val="00211D24"/>
    <w:rsid w:val="00223C06"/>
    <w:rsid w:val="0023690F"/>
    <w:rsid w:val="00236CF7"/>
    <w:rsid w:val="00260C35"/>
    <w:rsid w:val="002749EF"/>
    <w:rsid w:val="002E7863"/>
    <w:rsid w:val="00305610"/>
    <w:rsid w:val="00305A1C"/>
    <w:rsid w:val="00323588"/>
    <w:rsid w:val="00331076"/>
    <w:rsid w:val="00341D9E"/>
    <w:rsid w:val="00351DDA"/>
    <w:rsid w:val="00357D39"/>
    <w:rsid w:val="003E4E8C"/>
    <w:rsid w:val="00446298"/>
    <w:rsid w:val="00455349"/>
    <w:rsid w:val="00480754"/>
    <w:rsid w:val="004A70A7"/>
    <w:rsid w:val="004E36F2"/>
    <w:rsid w:val="004E4B1D"/>
    <w:rsid w:val="00512073"/>
    <w:rsid w:val="00525438"/>
    <w:rsid w:val="00542CB9"/>
    <w:rsid w:val="00552CD1"/>
    <w:rsid w:val="005644BD"/>
    <w:rsid w:val="0056632C"/>
    <w:rsid w:val="00566AB1"/>
    <w:rsid w:val="00583387"/>
    <w:rsid w:val="00586900"/>
    <w:rsid w:val="005A7427"/>
    <w:rsid w:val="006032DC"/>
    <w:rsid w:val="006032E2"/>
    <w:rsid w:val="006156C1"/>
    <w:rsid w:val="00647584"/>
    <w:rsid w:val="00650FCD"/>
    <w:rsid w:val="00684DA4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D1E1A"/>
    <w:rsid w:val="00806654"/>
    <w:rsid w:val="008B7B1D"/>
    <w:rsid w:val="008C6FB6"/>
    <w:rsid w:val="008D2D37"/>
    <w:rsid w:val="008E4BC0"/>
    <w:rsid w:val="0094363F"/>
    <w:rsid w:val="00963100"/>
    <w:rsid w:val="00985397"/>
    <w:rsid w:val="00991E7D"/>
    <w:rsid w:val="00993A2F"/>
    <w:rsid w:val="009D7D54"/>
    <w:rsid w:val="00A41571"/>
    <w:rsid w:val="00A60342"/>
    <w:rsid w:val="00A8562A"/>
    <w:rsid w:val="00AC004D"/>
    <w:rsid w:val="00B148AF"/>
    <w:rsid w:val="00B2672F"/>
    <w:rsid w:val="00B51EF3"/>
    <w:rsid w:val="00B879AD"/>
    <w:rsid w:val="00BA3A50"/>
    <w:rsid w:val="00BA5D28"/>
    <w:rsid w:val="00BB37D1"/>
    <w:rsid w:val="00BF4A4B"/>
    <w:rsid w:val="00C13769"/>
    <w:rsid w:val="00C3715A"/>
    <w:rsid w:val="00C566ED"/>
    <w:rsid w:val="00C97923"/>
    <w:rsid w:val="00CF450E"/>
    <w:rsid w:val="00D05C4D"/>
    <w:rsid w:val="00D275CA"/>
    <w:rsid w:val="00D62762"/>
    <w:rsid w:val="00D65CEA"/>
    <w:rsid w:val="00D722D1"/>
    <w:rsid w:val="00DC4000"/>
    <w:rsid w:val="00DF1583"/>
    <w:rsid w:val="00E76B1A"/>
    <w:rsid w:val="00E83D6B"/>
    <w:rsid w:val="00E86148"/>
    <w:rsid w:val="00E95273"/>
    <w:rsid w:val="00EB0435"/>
    <w:rsid w:val="00EE1EE1"/>
    <w:rsid w:val="00EE3880"/>
    <w:rsid w:val="00EF18AB"/>
    <w:rsid w:val="00F379D1"/>
    <w:rsid w:val="00FC33C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60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Ing. Jaroslav Brzák</cp:lastModifiedBy>
  <cp:revision>13</cp:revision>
  <dcterms:created xsi:type="dcterms:W3CDTF">2023-10-01T19:19:00Z</dcterms:created>
  <dcterms:modified xsi:type="dcterms:W3CDTF">2023-10-06T09:03:00Z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